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A88" w:rsidRDefault="00E32A88"/>
    <w:p w:rsidR="00E32A88" w:rsidRPr="006C2DBE" w:rsidRDefault="00E32A88" w:rsidP="006C2DBE">
      <w:pPr>
        <w:spacing w:before="100" w:beforeAutospacing="1" w:after="100" w:afterAutospacing="1"/>
        <w:jc w:val="center"/>
        <w:outlineLvl w:val="0"/>
        <w:rPr>
          <w:rFonts w:ascii="Times New Roman" w:hAnsi="Times New Roman"/>
          <w:b/>
          <w:bCs/>
          <w:kern w:val="36"/>
          <w:sz w:val="48"/>
          <w:szCs w:val="48"/>
        </w:rPr>
      </w:pPr>
      <w:r w:rsidRPr="00E32A88">
        <w:rPr>
          <w:rFonts w:ascii="Times New Roman" w:hAnsi="Times New Roman"/>
          <w:b/>
          <w:bCs/>
          <w:kern w:val="36"/>
          <w:sz w:val="48"/>
          <w:szCs w:val="48"/>
        </w:rPr>
        <w:t>Цветовая маркировка контурных катушек импортных радиоприемников</w:t>
      </w:r>
    </w:p>
    <w:p w:rsidR="00E32A88" w:rsidRPr="00E32A88" w:rsidRDefault="00E32A88" w:rsidP="00E32A88">
      <w:pPr>
        <w:spacing w:before="100" w:beforeAutospacing="1" w:after="100" w:afterAutospacing="1"/>
        <w:rPr>
          <w:rFonts w:ascii="Times New Roman" w:hAnsi="Times New Roman"/>
          <w:sz w:val="20"/>
          <w:szCs w:val="20"/>
        </w:rPr>
      </w:pPr>
      <w:r w:rsidRPr="00E32A88">
        <w:rPr>
          <w:rFonts w:ascii="Times New Roman" w:hAnsi="Times New Roman"/>
          <w:sz w:val="20"/>
          <w:szCs w:val="20"/>
        </w:rPr>
        <w:t xml:space="preserve">В настоящее время радиолюбителям все чаще приходится сталкиваться с необходимостью ремонта импортных радиоприемников. Одной из причин частого выхода их из строя является неисправность контурных катушек. Как показывает статистика, она занимает второе место после поломки всевозможных переключателей. Хотя маркировка современных импортных контурных катушек, похоже, унифицирована, в популярной литературе найти сведения о ней весьма затруднительно. Думается, что предлагаемый мною материал, полученный на основе ремонта недорогих радиоприемников и магнитол фирм Aiwa, Panasonic, Sharp, а также некоторых немаркированных моделей китайского производства, будет полезен радиолюбителям. </w:t>
      </w:r>
    </w:p>
    <w:p w:rsidR="00E32A88" w:rsidRPr="00E32A88" w:rsidRDefault="00E32A88" w:rsidP="00E32A88">
      <w:pPr>
        <w:spacing w:before="100" w:beforeAutospacing="1" w:after="100" w:afterAutospacing="1"/>
        <w:rPr>
          <w:rFonts w:ascii="Times New Roman" w:hAnsi="Times New Roman"/>
          <w:sz w:val="20"/>
          <w:szCs w:val="20"/>
        </w:rPr>
      </w:pPr>
      <w:r w:rsidRPr="00E32A88">
        <w:rPr>
          <w:rFonts w:ascii="Times New Roman" w:hAnsi="Times New Roman"/>
          <w:sz w:val="20"/>
          <w:szCs w:val="20"/>
        </w:rPr>
        <w:t>Чаще всего в радиоприемниках применяются контурные катушки размерами 10х10х14 мм и 8х8х11 мм (рис. 1). Все обмотки обычно намотаны внавал эмалированным</w:t>
      </w:r>
      <w:bookmarkStart w:id="0" w:name="_GoBack"/>
      <w:bookmarkEnd w:id="0"/>
      <w:r w:rsidRPr="00E32A88">
        <w:rPr>
          <w:rFonts w:ascii="Times New Roman" w:hAnsi="Times New Roman"/>
          <w:sz w:val="20"/>
          <w:szCs w:val="20"/>
        </w:rPr>
        <w:t xml:space="preserve"> проводом диаметром 0,05...0,12 мм на ферритовом магнитопроводе, приклеенном к пластмассовому основанию. Контурные катушки намотаны поверх катушек связи и залиты парафином. Подстроечником служит ферритовый горшок, имеющий резьбу на наружной поверхности и шлиц под отвертку. Весь контур заключен в латунный экран. В контурах, применяемых в трактах ПЧ, имеются встроенные конденсаторы. </w:t>
      </w:r>
    </w:p>
    <w:p w:rsidR="00E32A88" w:rsidRPr="00E32A88" w:rsidRDefault="00EC76D6" w:rsidP="00E32A88">
      <w:pPr>
        <w:spacing w:before="100" w:beforeAutospacing="1" w:after="100" w:afterAutospacing="1"/>
        <w:jc w:val="center"/>
        <w:rPr>
          <w:rFonts w:ascii="Times New Roman" w:hAnsi="Times New Roman"/>
          <w:sz w:val="20"/>
          <w:szCs w:val="20"/>
        </w:rPr>
      </w:pPr>
      <w:r>
        <w:rPr>
          <w:rFonts w:ascii="Times New Roman" w:hAnsi="Times New Roman"/>
          <w:noProof/>
          <w:sz w:val="20"/>
          <w:szCs w:val="20"/>
        </w:rPr>
        <w:drawing>
          <wp:inline distT="0" distB="0" distL="0" distR="0">
            <wp:extent cx="2774950" cy="1153160"/>
            <wp:effectExtent l="19050" t="0" r="6350" b="0"/>
            <wp:docPr id="1" name="Рисунок 1" descr="spra.gif (1962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ra.gif (1962 bytes)"/>
                    <pic:cNvPicPr>
                      <a:picLocks noChangeAspect="1" noChangeArrowheads="1"/>
                    </pic:cNvPicPr>
                  </pic:nvPicPr>
                  <pic:blipFill>
                    <a:blip r:embed="rId5"/>
                    <a:srcRect/>
                    <a:stretch>
                      <a:fillRect/>
                    </a:stretch>
                  </pic:blipFill>
                  <pic:spPr bwMode="auto">
                    <a:xfrm>
                      <a:off x="0" y="0"/>
                      <a:ext cx="2774950" cy="1153160"/>
                    </a:xfrm>
                    <a:prstGeom prst="rect">
                      <a:avLst/>
                    </a:prstGeom>
                    <a:noFill/>
                    <a:ln w="9525">
                      <a:noFill/>
                      <a:miter lim="800000"/>
                      <a:headEnd/>
                      <a:tailEnd/>
                    </a:ln>
                  </pic:spPr>
                </pic:pic>
              </a:graphicData>
            </a:graphic>
          </wp:inline>
        </w:drawing>
      </w:r>
      <w:r w:rsidR="00E32A88" w:rsidRPr="00E32A88">
        <w:rPr>
          <w:rFonts w:ascii="Times New Roman" w:hAnsi="Times New Roman"/>
          <w:sz w:val="20"/>
          <w:szCs w:val="20"/>
        </w:rPr>
        <w:br w:type="textWrapping" w:clear="all"/>
        <w:t xml:space="preserve">рис. 1 </w:t>
      </w:r>
    </w:p>
    <w:p w:rsidR="00E32A88" w:rsidRPr="00E32A88" w:rsidRDefault="00E32A88" w:rsidP="00E32A88">
      <w:pPr>
        <w:spacing w:before="100" w:beforeAutospacing="1" w:after="100" w:afterAutospacing="1"/>
        <w:rPr>
          <w:rFonts w:ascii="Times New Roman" w:hAnsi="Times New Roman"/>
          <w:sz w:val="20"/>
          <w:szCs w:val="20"/>
        </w:rPr>
      </w:pPr>
      <w:r w:rsidRPr="00E32A88">
        <w:rPr>
          <w:rFonts w:ascii="Times New Roman" w:hAnsi="Times New Roman"/>
          <w:sz w:val="20"/>
          <w:szCs w:val="20"/>
        </w:rPr>
        <w:t xml:space="preserve">Цветовая маркировка катушек представляет собой пятна или полосы краски, нанесенные соответственно на дно магнитопровода или на экран. Схемы контурных катушек приведены на рис. 2. </w:t>
      </w:r>
    </w:p>
    <w:p w:rsidR="00E32A88" w:rsidRPr="00E32A88" w:rsidRDefault="00EC76D6" w:rsidP="00E32A88">
      <w:pPr>
        <w:spacing w:before="100" w:beforeAutospacing="1" w:after="100" w:afterAutospacing="1"/>
        <w:jc w:val="center"/>
        <w:rPr>
          <w:rFonts w:ascii="Times New Roman" w:hAnsi="Times New Roman"/>
          <w:sz w:val="20"/>
          <w:szCs w:val="20"/>
        </w:rPr>
      </w:pPr>
      <w:r>
        <w:rPr>
          <w:rFonts w:ascii="Times New Roman" w:hAnsi="Times New Roman"/>
          <w:noProof/>
          <w:sz w:val="20"/>
          <w:szCs w:val="20"/>
        </w:rPr>
        <w:drawing>
          <wp:inline distT="0" distB="0" distL="0" distR="0">
            <wp:extent cx="2544445" cy="2989580"/>
            <wp:effectExtent l="19050" t="0" r="8255" b="0"/>
            <wp:docPr id="2" name="Рисунок 2" descr="sprb.gif (236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rb.gif (2361 bytes)"/>
                    <pic:cNvPicPr>
                      <a:picLocks noChangeAspect="1" noChangeArrowheads="1"/>
                    </pic:cNvPicPr>
                  </pic:nvPicPr>
                  <pic:blipFill>
                    <a:blip r:embed="rId6"/>
                    <a:srcRect/>
                    <a:stretch>
                      <a:fillRect/>
                    </a:stretch>
                  </pic:blipFill>
                  <pic:spPr bwMode="auto">
                    <a:xfrm>
                      <a:off x="0" y="0"/>
                      <a:ext cx="2544445" cy="2989580"/>
                    </a:xfrm>
                    <a:prstGeom prst="rect">
                      <a:avLst/>
                    </a:prstGeom>
                    <a:noFill/>
                    <a:ln w="9525">
                      <a:noFill/>
                      <a:miter lim="800000"/>
                      <a:headEnd/>
                      <a:tailEnd/>
                    </a:ln>
                  </pic:spPr>
                </pic:pic>
              </a:graphicData>
            </a:graphic>
          </wp:inline>
        </w:drawing>
      </w:r>
      <w:r w:rsidR="00E32A88" w:rsidRPr="00E32A88">
        <w:rPr>
          <w:rFonts w:ascii="Times New Roman" w:hAnsi="Times New Roman"/>
          <w:sz w:val="20"/>
          <w:szCs w:val="20"/>
        </w:rPr>
        <w:br w:type="textWrapping" w:clear="all"/>
        <w:t xml:space="preserve">рис. 2 </w:t>
      </w:r>
    </w:p>
    <w:p w:rsidR="000E06E6" w:rsidRDefault="000E06E6" w:rsidP="00E32A88">
      <w:pPr>
        <w:spacing w:before="100" w:beforeAutospacing="1" w:after="100" w:afterAutospacing="1"/>
        <w:rPr>
          <w:rFonts w:ascii="Times New Roman" w:hAnsi="Times New Roman"/>
          <w:sz w:val="20"/>
          <w:szCs w:val="20"/>
          <w:lang w:val="en-US"/>
        </w:rPr>
      </w:pPr>
    </w:p>
    <w:p w:rsidR="00E32A88" w:rsidRPr="00E32A88" w:rsidRDefault="00E32A88" w:rsidP="000E06E6">
      <w:pPr>
        <w:spacing w:before="100" w:beforeAutospacing="1" w:after="100" w:afterAutospacing="1"/>
        <w:jc w:val="center"/>
        <w:rPr>
          <w:rFonts w:ascii="Times New Roman" w:hAnsi="Times New Roman"/>
          <w:sz w:val="20"/>
          <w:szCs w:val="20"/>
        </w:rPr>
      </w:pPr>
      <w:r w:rsidRPr="00E32A88">
        <w:rPr>
          <w:rFonts w:ascii="Times New Roman" w:hAnsi="Times New Roman"/>
          <w:sz w:val="20"/>
          <w:szCs w:val="20"/>
        </w:rPr>
        <w:lastRenderedPageBreak/>
        <w:t>В таблице указаны намоточные данные, назначение, емкость встроенного конденсатора и цветовая маркировка катушек размерами 10х10х14 мм. Контурные катушки размерами 8х8х11 мм имеют то же назначение и емкость встроенного конденсатора, но их обмотки могут быть намотаны более тонким проводом и содержать большее число витков. Эти катушки менее ремонтнопригодны, чем катушки размерами 10х10х14 мм.</w:t>
      </w:r>
    </w:p>
    <w:tbl>
      <w:tblPr>
        <w:tblpPr w:leftFromText="45" w:rightFromText="45" w:vertAnchor="text"/>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124"/>
        <w:gridCol w:w="2143"/>
        <w:gridCol w:w="1027"/>
        <w:gridCol w:w="1135"/>
        <w:gridCol w:w="1047"/>
        <w:gridCol w:w="1311"/>
      </w:tblGrid>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Цвет</w:t>
            </w:r>
            <w:r w:rsidRPr="00E32A88">
              <w:rPr>
                <w:rFonts w:ascii="Times New Roman" w:hAnsi="Times New Roman"/>
                <w:sz w:val="20"/>
                <w:szCs w:val="20"/>
              </w:rPr>
              <w:br/>
              <w:t xml:space="preserve">маркировки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Назначение</w:t>
            </w:r>
            <w:r w:rsidRPr="00E32A88">
              <w:rPr>
                <w:rFonts w:ascii="Times New Roman" w:hAnsi="Times New Roman"/>
                <w:sz w:val="20"/>
                <w:szCs w:val="20"/>
              </w:rPr>
              <w:br/>
              <w:t>контурных</w:t>
            </w:r>
            <w:r w:rsidRPr="00E32A88">
              <w:rPr>
                <w:rFonts w:ascii="Times New Roman" w:hAnsi="Times New Roman"/>
                <w:sz w:val="20"/>
                <w:szCs w:val="20"/>
              </w:rPr>
              <w:br/>
              <w:t xml:space="preserve">катушек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Схема</w:t>
            </w:r>
            <w:r w:rsidRPr="00E32A88">
              <w:rPr>
                <w:rFonts w:ascii="Times New Roman" w:hAnsi="Times New Roman"/>
                <w:sz w:val="20"/>
                <w:szCs w:val="20"/>
              </w:rPr>
              <w:br/>
              <w:t>включения</w:t>
            </w:r>
            <w:r w:rsidRPr="00E32A88">
              <w:rPr>
                <w:rFonts w:ascii="Times New Roman" w:hAnsi="Times New Roman"/>
                <w:sz w:val="20"/>
                <w:szCs w:val="20"/>
              </w:rPr>
              <w:br/>
              <w:t>обмоток</w:t>
            </w:r>
            <w:r w:rsidRPr="00E32A88">
              <w:rPr>
                <w:rFonts w:ascii="Times New Roman" w:hAnsi="Times New Roman"/>
                <w:sz w:val="20"/>
                <w:szCs w:val="20"/>
              </w:rPr>
              <w:br/>
              <w:t xml:space="preserve">по рис.2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Номера</w:t>
            </w:r>
            <w:r w:rsidRPr="00E32A88">
              <w:rPr>
                <w:rFonts w:ascii="Times New Roman" w:hAnsi="Times New Roman"/>
                <w:sz w:val="20"/>
                <w:szCs w:val="20"/>
              </w:rPr>
              <w:br/>
              <w:t>выводов</w:t>
            </w:r>
            <w:r w:rsidRPr="00E32A88">
              <w:rPr>
                <w:rFonts w:ascii="Times New Roman" w:hAnsi="Times New Roman"/>
                <w:sz w:val="20"/>
                <w:szCs w:val="20"/>
              </w:rPr>
              <w:br/>
              <w:t xml:space="preserve">обмоток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Число</w:t>
            </w:r>
            <w:r w:rsidRPr="00E32A88">
              <w:rPr>
                <w:rFonts w:ascii="Times New Roman" w:hAnsi="Times New Roman"/>
                <w:sz w:val="20"/>
                <w:szCs w:val="20"/>
              </w:rPr>
              <w:br/>
              <w:t xml:space="preserve">витков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Емкость</w:t>
            </w:r>
            <w:r w:rsidRPr="00E32A88">
              <w:rPr>
                <w:rFonts w:ascii="Times New Roman" w:hAnsi="Times New Roman"/>
                <w:sz w:val="20"/>
                <w:szCs w:val="20"/>
              </w:rPr>
              <w:br/>
              <w:t>встроенного</w:t>
            </w:r>
            <w:r w:rsidRPr="00E32A88">
              <w:rPr>
                <w:rFonts w:ascii="Times New Roman" w:hAnsi="Times New Roman"/>
                <w:sz w:val="20"/>
                <w:szCs w:val="20"/>
              </w:rPr>
              <w:br/>
              <w:t xml:space="preserve">конденсатора, </w:t>
            </w:r>
            <w:r w:rsidRPr="00E32A88">
              <w:rPr>
                <w:rFonts w:ascii="Times New Roman" w:hAnsi="Times New Roman"/>
                <w:sz w:val="20"/>
                <w:szCs w:val="20"/>
              </w:rPr>
              <w:br/>
              <w:t xml:space="preserve">пф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Желтый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Фильтр ПЧ-АМ</w:t>
            </w:r>
            <w:r w:rsidRPr="00E32A88">
              <w:rPr>
                <w:rFonts w:ascii="Times New Roman" w:hAnsi="Times New Roman"/>
                <w:sz w:val="20"/>
                <w:szCs w:val="20"/>
              </w:rPr>
              <w:br/>
              <w:t xml:space="preserve">455...460 кГц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а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1-2-3</w:t>
            </w:r>
            <w:r w:rsidRPr="00E32A88">
              <w:rPr>
                <w:rFonts w:ascii="Times New Roman" w:hAnsi="Times New Roman"/>
                <w:sz w:val="20"/>
                <w:szCs w:val="20"/>
              </w:rPr>
              <w:br/>
              <w:t xml:space="preserve">4-6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100+50 9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190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Белый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Детектор ПЧ-АМ</w:t>
            </w:r>
            <w:r w:rsidRPr="00E32A88">
              <w:rPr>
                <w:rFonts w:ascii="Times New Roman" w:hAnsi="Times New Roman"/>
                <w:sz w:val="20"/>
                <w:szCs w:val="20"/>
              </w:rPr>
              <w:br/>
              <w:t xml:space="preserve">455...460 кГц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б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1-2-3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50+50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410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Оранжевый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Фильтр ПЧ-ЧМ</w:t>
            </w:r>
            <w:r w:rsidRPr="00E32A88">
              <w:rPr>
                <w:rFonts w:ascii="Times New Roman" w:hAnsi="Times New Roman"/>
                <w:sz w:val="20"/>
                <w:szCs w:val="20"/>
              </w:rPr>
              <w:br/>
              <w:t>10,7МГц</w:t>
            </w:r>
            <w:r w:rsidRPr="00E32A88">
              <w:rPr>
                <w:rFonts w:ascii="Times New Roman" w:hAnsi="Times New Roman"/>
                <w:sz w:val="20"/>
                <w:szCs w:val="20"/>
                <w:vertAlign w:val="superscript"/>
              </w:rPr>
              <w:t xml:space="preserve">1)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в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1-3</w:t>
            </w:r>
            <w:r w:rsidRPr="00E32A88">
              <w:rPr>
                <w:rFonts w:ascii="Times New Roman" w:hAnsi="Times New Roman"/>
                <w:sz w:val="20"/>
                <w:szCs w:val="20"/>
              </w:rPr>
              <w:br/>
              <w:t xml:space="preserve">4-6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12</w:t>
            </w:r>
            <w:r w:rsidRPr="00E32A88">
              <w:rPr>
                <w:rFonts w:ascii="Times New Roman" w:hAnsi="Times New Roman"/>
                <w:sz w:val="20"/>
                <w:szCs w:val="20"/>
              </w:rPr>
              <w:br/>
              <w:t xml:space="preserve">2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75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Сиреневый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Фильтр ПЧ-ЧМ</w:t>
            </w:r>
            <w:r w:rsidRPr="00E32A88">
              <w:rPr>
                <w:rFonts w:ascii="Times New Roman" w:hAnsi="Times New Roman"/>
                <w:sz w:val="20"/>
                <w:szCs w:val="20"/>
              </w:rPr>
              <w:br/>
              <w:t xml:space="preserve">10,7 МГц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в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1-3</w:t>
            </w:r>
            <w:r w:rsidRPr="00E32A88">
              <w:rPr>
                <w:rFonts w:ascii="Times New Roman" w:hAnsi="Times New Roman"/>
                <w:sz w:val="20"/>
                <w:szCs w:val="20"/>
              </w:rPr>
              <w:br/>
              <w:t xml:space="preserve">4-6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11</w:t>
            </w:r>
            <w:r w:rsidRPr="00E32A88">
              <w:rPr>
                <w:rFonts w:ascii="Times New Roman" w:hAnsi="Times New Roman"/>
                <w:sz w:val="20"/>
                <w:szCs w:val="20"/>
              </w:rPr>
              <w:br/>
              <w:t xml:space="preserve">2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90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Розовый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Дискриминатор ПЧ-ЧМ</w:t>
            </w:r>
            <w:r w:rsidRPr="00E32A88">
              <w:rPr>
                <w:rFonts w:ascii="Times New Roman" w:hAnsi="Times New Roman"/>
                <w:sz w:val="20"/>
                <w:szCs w:val="20"/>
              </w:rPr>
              <w:br/>
              <w:t>10,7 МГц</w:t>
            </w:r>
            <w:r w:rsidRPr="00E32A88">
              <w:rPr>
                <w:rFonts w:ascii="Times New Roman" w:hAnsi="Times New Roman"/>
                <w:sz w:val="20"/>
                <w:szCs w:val="20"/>
                <w:vertAlign w:val="superscript"/>
              </w:rPr>
              <w:t xml:space="preserve">2)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г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1-3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7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190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Зеленый</w:t>
            </w:r>
            <w:r w:rsidRPr="00E32A88">
              <w:rPr>
                <w:rFonts w:ascii="Times New Roman" w:hAnsi="Times New Roman"/>
                <w:sz w:val="20"/>
                <w:szCs w:val="20"/>
              </w:rPr>
              <w:br/>
              <w:t xml:space="preserve">или синий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Дискриминатор ПЧ-ЧМ</w:t>
            </w:r>
            <w:r w:rsidRPr="00E32A88">
              <w:rPr>
                <w:rFonts w:ascii="Times New Roman" w:hAnsi="Times New Roman"/>
                <w:sz w:val="20"/>
                <w:szCs w:val="20"/>
              </w:rPr>
              <w:br/>
              <w:t>10,7 МГц</w:t>
            </w:r>
            <w:r w:rsidRPr="00E32A88">
              <w:rPr>
                <w:rFonts w:ascii="Times New Roman" w:hAnsi="Times New Roman"/>
                <w:sz w:val="20"/>
                <w:szCs w:val="20"/>
                <w:vertAlign w:val="superscript"/>
              </w:rPr>
              <w:t xml:space="preserve">2)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г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1-3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11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90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Красный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Контур гетеродина</w:t>
            </w:r>
            <w:r w:rsidRPr="00E32A88">
              <w:rPr>
                <w:rFonts w:ascii="Times New Roman" w:hAnsi="Times New Roman"/>
                <w:sz w:val="20"/>
                <w:szCs w:val="20"/>
              </w:rPr>
              <w:br/>
              <w:t xml:space="preserve">АМ СВ-ДВ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д,е,ж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1-3</w:t>
            </w:r>
            <w:r w:rsidRPr="00E32A88">
              <w:rPr>
                <w:rFonts w:ascii="Times New Roman" w:hAnsi="Times New Roman"/>
                <w:sz w:val="20"/>
                <w:szCs w:val="20"/>
              </w:rPr>
              <w:br/>
              <w:t xml:space="preserve">4 - 6, 2 - 3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80...100</w:t>
            </w:r>
            <w:r w:rsidRPr="00E32A88">
              <w:rPr>
                <w:rFonts w:ascii="Times New Roman" w:hAnsi="Times New Roman"/>
                <w:sz w:val="20"/>
                <w:szCs w:val="20"/>
                <w:vertAlign w:val="superscript"/>
              </w:rPr>
              <w:t xml:space="preserve">3) </w:t>
            </w:r>
            <w:r w:rsidRPr="00E32A88">
              <w:rPr>
                <w:rFonts w:ascii="Times New Roman" w:hAnsi="Times New Roman"/>
                <w:sz w:val="20"/>
                <w:szCs w:val="20"/>
              </w:rPr>
              <w:br/>
              <w:t xml:space="preserve">8...12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w:t>
            </w:r>
          </w:p>
        </w:tc>
      </w:tr>
      <w:tr w:rsidR="00E32A88" w:rsidRPr="00E32A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Без</w:t>
            </w:r>
            <w:r w:rsidRPr="00E32A88">
              <w:rPr>
                <w:rFonts w:ascii="Times New Roman" w:hAnsi="Times New Roman"/>
                <w:sz w:val="20"/>
                <w:szCs w:val="20"/>
              </w:rPr>
              <w:br/>
              <w:t xml:space="preserve">маркировки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Входной СВ контур</w:t>
            </w:r>
            <w:r w:rsidRPr="00E32A88">
              <w:rPr>
                <w:rFonts w:ascii="Times New Roman" w:hAnsi="Times New Roman"/>
                <w:sz w:val="20"/>
                <w:szCs w:val="20"/>
              </w:rPr>
              <w:br/>
              <w:t xml:space="preserve">в автомагнитолах </w:t>
            </w:r>
          </w:p>
          <w:p w:rsidR="00E32A88" w:rsidRPr="00E32A88" w:rsidRDefault="00E32A88" w:rsidP="00E32A88">
            <w:pPr>
              <w:spacing w:before="100" w:beforeAutospacing="1" w:after="100" w:afterAutospacing="1"/>
              <w:rPr>
                <w:rFonts w:ascii="Times New Roman" w:hAnsi="Times New Roman"/>
                <w:sz w:val="20"/>
                <w:szCs w:val="20"/>
              </w:rPr>
            </w:pPr>
            <w:r w:rsidRPr="00E32A88">
              <w:rPr>
                <w:rFonts w:ascii="Times New Roman" w:hAnsi="Times New Roman"/>
                <w:sz w:val="20"/>
                <w:szCs w:val="20"/>
              </w:rPr>
              <w:t>Входные и</w:t>
            </w:r>
            <w:r w:rsidRPr="00E32A88">
              <w:rPr>
                <w:rFonts w:ascii="Times New Roman" w:hAnsi="Times New Roman"/>
                <w:sz w:val="20"/>
                <w:szCs w:val="20"/>
              </w:rPr>
              <w:br/>
              <w:t>гетеродинные</w:t>
            </w:r>
            <w:r w:rsidRPr="00E32A88">
              <w:rPr>
                <w:rFonts w:ascii="Times New Roman" w:hAnsi="Times New Roman"/>
                <w:sz w:val="20"/>
                <w:szCs w:val="20"/>
              </w:rPr>
              <w:br/>
              <w:t xml:space="preserve">KB контуры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xml:space="preserve">д,е,ж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Соотношения витков</w:t>
            </w:r>
            <w:r w:rsidRPr="00E32A88">
              <w:rPr>
                <w:rFonts w:ascii="Times New Roman" w:hAnsi="Times New Roman"/>
                <w:sz w:val="20"/>
                <w:szCs w:val="20"/>
              </w:rPr>
              <w:br/>
              <w:t>контурных катушек и</w:t>
            </w:r>
            <w:r w:rsidRPr="00E32A88">
              <w:rPr>
                <w:rFonts w:ascii="Times New Roman" w:hAnsi="Times New Roman"/>
                <w:sz w:val="20"/>
                <w:szCs w:val="20"/>
              </w:rPr>
              <w:br/>
              <w:t>катушек связи различны</w:t>
            </w:r>
            <w:r w:rsidRPr="00E32A88">
              <w:rPr>
                <w:rFonts w:ascii="Times New Roman" w:hAnsi="Times New Roman"/>
                <w:sz w:val="20"/>
                <w:szCs w:val="20"/>
              </w:rPr>
              <w:br/>
              <w:t xml:space="preserve">у разных моделей </w:t>
            </w:r>
          </w:p>
        </w:tc>
        <w:tc>
          <w:tcPr>
            <w:tcW w:w="0" w:type="auto"/>
            <w:tcBorders>
              <w:top w:val="outset" w:sz="6" w:space="0" w:color="auto"/>
              <w:left w:val="outset" w:sz="6" w:space="0" w:color="auto"/>
              <w:bottom w:val="outset" w:sz="6" w:space="0" w:color="auto"/>
              <w:right w:val="outset" w:sz="6" w:space="0" w:color="auto"/>
            </w:tcBorders>
            <w:vAlign w:val="center"/>
          </w:tcPr>
          <w:p w:rsidR="00E32A88" w:rsidRPr="00E32A88" w:rsidRDefault="00E32A88" w:rsidP="00E32A88">
            <w:pPr>
              <w:rPr>
                <w:rFonts w:ascii="Times New Roman" w:hAnsi="Times New Roman"/>
                <w:sz w:val="20"/>
                <w:szCs w:val="20"/>
              </w:rPr>
            </w:pPr>
            <w:r w:rsidRPr="00E32A88">
              <w:rPr>
                <w:rFonts w:ascii="Times New Roman" w:hAnsi="Times New Roman"/>
                <w:sz w:val="20"/>
                <w:szCs w:val="20"/>
              </w:rPr>
              <w:t> </w:t>
            </w:r>
          </w:p>
        </w:tc>
      </w:tr>
    </w:tbl>
    <w:p w:rsidR="00E32A88" w:rsidRPr="00E32A88" w:rsidRDefault="00E32A88" w:rsidP="00E32A88">
      <w:pPr>
        <w:spacing w:before="100" w:beforeAutospacing="1" w:after="100" w:afterAutospacing="1"/>
        <w:jc w:val="center"/>
        <w:rPr>
          <w:rFonts w:ascii="Times New Roman" w:hAnsi="Times New Roman"/>
          <w:sz w:val="20"/>
          <w:szCs w:val="20"/>
        </w:rPr>
      </w:pPr>
      <w:r w:rsidRPr="00E32A88">
        <w:rPr>
          <w:rFonts w:ascii="Times New Roman" w:hAnsi="Times New Roman"/>
          <w:sz w:val="20"/>
          <w:szCs w:val="20"/>
        </w:rPr>
        <w:br w:type="textWrapping" w:clear="all"/>
      </w:r>
    </w:p>
    <w:p w:rsidR="00E32A88" w:rsidRPr="00E32A88" w:rsidRDefault="00E32A88" w:rsidP="00E32A88">
      <w:pPr>
        <w:spacing w:before="100" w:beforeAutospacing="1" w:after="100" w:afterAutospacing="1"/>
        <w:rPr>
          <w:rFonts w:ascii="Times New Roman" w:hAnsi="Times New Roman"/>
          <w:sz w:val="20"/>
          <w:szCs w:val="20"/>
        </w:rPr>
      </w:pPr>
      <w:r w:rsidRPr="00E32A88">
        <w:rPr>
          <w:rFonts w:ascii="Times New Roman" w:hAnsi="Times New Roman"/>
          <w:sz w:val="20"/>
          <w:szCs w:val="20"/>
          <w:vertAlign w:val="superscript"/>
        </w:rPr>
        <w:t xml:space="preserve">1) </w:t>
      </w:r>
      <w:r w:rsidRPr="00E32A88">
        <w:rPr>
          <w:rFonts w:ascii="Times New Roman" w:hAnsi="Times New Roman"/>
          <w:sz w:val="20"/>
          <w:szCs w:val="20"/>
        </w:rPr>
        <w:t xml:space="preserve">Может использоваться вместо синего и зеленого. В этом случае катушка связи 4-6 не подключена к плате. </w:t>
      </w:r>
    </w:p>
    <w:p w:rsidR="00E32A88" w:rsidRPr="00E32A88" w:rsidRDefault="00E32A88" w:rsidP="00E32A88">
      <w:pPr>
        <w:spacing w:before="100" w:beforeAutospacing="1" w:after="100" w:afterAutospacing="1"/>
        <w:rPr>
          <w:rFonts w:ascii="Times New Roman" w:hAnsi="Times New Roman"/>
          <w:sz w:val="20"/>
          <w:szCs w:val="20"/>
        </w:rPr>
      </w:pPr>
      <w:r w:rsidRPr="00E32A88">
        <w:rPr>
          <w:rFonts w:ascii="Times New Roman" w:hAnsi="Times New Roman"/>
          <w:sz w:val="20"/>
          <w:szCs w:val="20"/>
          <w:vertAlign w:val="superscript"/>
        </w:rPr>
        <w:t xml:space="preserve">2) </w:t>
      </w:r>
      <w:r w:rsidRPr="00E32A88">
        <w:rPr>
          <w:rFonts w:ascii="Times New Roman" w:hAnsi="Times New Roman"/>
          <w:sz w:val="20"/>
          <w:szCs w:val="20"/>
        </w:rPr>
        <w:t xml:space="preserve">Применяются с различными микросхемами. </w:t>
      </w:r>
    </w:p>
    <w:p w:rsidR="00E32A88" w:rsidRPr="00E32A88" w:rsidRDefault="00E32A88" w:rsidP="00E32A88">
      <w:pPr>
        <w:spacing w:before="100" w:beforeAutospacing="1" w:after="100" w:afterAutospacing="1"/>
        <w:rPr>
          <w:rFonts w:ascii="Times New Roman" w:hAnsi="Times New Roman"/>
          <w:sz w:val="20"/>
          <w:szCs w:val="20"/>
        </w:rPr>
      </w:pPr>
      <w:r w:rsidRPr="00E32A88">
        <w:rPr>
          <w:rFonts w:ascii="Times New Roman" w:hAnsi="Times New Roman"/>
          <w:sz w:val="20"/>
          <w:szCs w:val="20"/>
          <w:vertAlign w:val="superscript"/>
        </w:rPr>
        <w:t xml:space="preserve">3) </w:t>
      </w:r>
      <w:r w:rsidRPr="00E32A88">
        <w:rPr>
          <w:rFonts w:ascii="Times New Roman" w:hAnsi="Times New Roman"/>
          <w:sz w:val="20"/>
          <w:szCs w:val="20"/>
        </w:rPr>
        <w:t xml:space="preserve">Число витков зависит от емкости КПЕ. Соотношение числа витков обмоток контурной катушки и катушки связи выбрано в пределах 10:1-8:1. </w:t>
      </w:r>
    </w:p>
    <w:p w:rsidR="004564B1" w:rsidRPr="00E32A88" w:rsidRDefault="004564B1" w:rsidP="00E32A88"/>
    <w:sectPr w:rsidR="004564B1" w:rsidRPr="00E32A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A88"/>
    <w:rsid w:val="000E06E6"/>
    <w:rsid w:val="00192BCD"/>
    <w:rsid w:val="00214B7B"/>
    <w:rsid w:val="00250E39"/>
    <w:rsid w:val="004564B1"/>
    <w:rsid w:val="006C2DBE"/>
    <w:rsid w:val="00E32A88"/>
    <w:rsid w:val="00EC7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sz w:val="40"/>
      <w:szCs w:val="40"/>
    </w:rPr>
  </w:style>
  <w:style w:type="paragraph" w:styleId="1">
    <w:name w:val="heading 1"/>
    <w:basedOn w:val="a"/>
    <w:qFormat/>
    <w:rsid w:val="00E32A88"/>
    <w:pPr>
      <w:spacing w:before="100" w:beforeAutospacing="1" w:after="100" w:afterAutospacing="1"/>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32A88"/>
    <w:pPr>
      <w:spacing w:before="100" w:beforeAutospacing="1" w:after="100" w:afterAutospacing="1"/>
    </w:pPr>
    <w:rPr>
      <w:rFonts w:ascii="Times New Roman" w:hAnsi="Times New Roman"/>
      <w:sz w:val="24"/>
      <w:szCs w:val="24"/>
    </w:rPr>
  </w:style>
  <w:style w:type="paragraph" w:styleId="a4">
    <w:name w:val="Balloon Text"/>
    <w:basedOn w:val="a"/>
    <w:link w:val="a5"/>
    <w:rsid w:val="00250E39"/>
    <w:rPr>
      <w:rFonts w:ascii="Tahoma" w:hAnsi="Tahoma" w:cs="Tahoma"/>
      <w:sz w:val="16"/>
      <w:szCs w:val="16"/>
    </w:rPr>
  </w:style>
  <w:style w:type="character" w:customStyle="1" w:styleId="a5">
    <w:name w:val="Текст выноски Знак"/>
    <w:basedOn w:val="a0"/>
    <w:link w:val="a4"/>
    <w:rsid w:val="00250E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sz w:val="40"/>
      <w:szCs w:val="40"/>
    </w:rPr>
  </w:style>
  <w:style w:type="paragraph" w:styleId="1">
    <w:name w:val="heading 1"/>
    <w:basedOn w:val="a"/>
    <w:qFormat/>
    <w:rsid w:val="00E32A88"/>
    <w:pPr>
      <w:spacing w:before="100" w:beforeAutospacing="1" w:after="100" w:afterAutospacing="1"/>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32A88"/>
    <w:pPr>
      <w:spacing w:before="100" w:beforeAutospacing="1" w:after="100" w:afterAutospacing="1"/>
    </w:pPr>
    <w:rPr>
      <w:rFonts w:ascii="Times New Roman" w:hAnsi="Times New Roman"/>
      <w:sz w:val="24"/>
      <w:szCs w:val="24"/>
    </w:rPr>
  </w:style>
  <w:style w:type="paragraph" w:styleId="a4">
    <w:name w:val="Balloon Text"/>
    <w:basedOn w:val="a"/>
    <w:link w:val="a5"/>
    <w:rsid w:val="00250E39"/>
    <w:rPr>
      <w:rFonts w:ascii="Tahoma" w:hAnsi="Tahoma" w:cs="Tahoma"/>
      <w:sz w:val="16"/>
      <w:szCs w:val="16"/>
    </w:rPr>
  </w:style>
  <w:style w:type="character" w:customStyle="1" w:styleId="a5">
    <w:name w:val="Текст выноски Знак"/>
    <w:basedOn w:val="a0"/>
    <w:link w:val="a4"/>
    <w:rsid w:val="00250E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61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Цветовая маркировка контурных катушек импортных радиоприемников</vt:lpstr>
    </vt:vector>
  </TitlesOfParts>
  <Company/>
  <LinksUpToDate>false</LinksUpToDate>
  <CharactersWithSpaces>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Цветовая маркировка контурных катушек импортных радиоприемников</dc:title>
  <dc:subject/>
  <dc:creator>Prorekhin Andrey</dc:creator>
  <cp:keywords/>
  <dc:description/>
  <cp:lastModifiedBy>Admin</cp:lastModifiedBy>
  <cp:revision>2</cp:revision>
  <dcterms:created xsi:type="dcterms:W3CDTF">2013-11-24T05:20:00Z</dcterms:created>
  <dcterms:modified xsi:type="dcterms:W3CDTF">2013-11-24T05:20:00Z</dcterms:modified>
</cp:coreProperties>
</file>